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D2" w:rsidRPr="006E5043" w:rsidRDefault="00F70BD2" w:rsidP="00F70BD2">
      <w:pPr>
        <w:pStyle w:val="StandardWeb"/>
        <w:spacing w:before="0" w:beforeAutospacing="0" w:after="480" w:afterAutospacing="0" w:line="268" w:lineRule="atLeast"/>
        <w:rPr>
          <w:rFonts w:ascii="Verdana" w:hAnsi="Verdana"/>
          <w:color w:val="000000"/>
          <w:sz w:val="20"/>
          <w:szCs w:val="20"/>
        </w:rPr>
      </w:pPr>
      <w:r>
        <w:rPr>
          <w:rFonts w:ascii="Verdana" w:hAnsi="Verdana"/>
          <w:b/>
          <w:bCs/>
          <w:color w:val="000000"/>
          <w:sz w:val="36"/>
          <w:szCs w:val="36"/>
        </w:rPr>
        <w:t>Neue Studie!</w:t>
      </w:r>
    </w:p>
    <w:p w:rsidR="00F70BD2" w:rsidRPr="005C2F76"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F70BD2" w:rsidRDefault="00F70BD2" w:rsidP="00F70BD2">
      <w:pPr>
        <w:pStyle w:val="StandardWeb"/>
        <w:spacing w:before="0" w:beforeAutospacing="0" w:after="0" w:afterAutospacing="0"/>
        <w:jc w:val="center"/>
        <w:rPr>
          <w:rFonts w:ascii="Verdana" w:hAnsi="Verdana"/>
          <w:b/>
          <w:bCs/>
          <w:color w:val="000000"/>
          <w:sz w:val="27"/>
          <w:szCs w:val="27"/>
        </w:rPr>
      </w:pPr>
      <w:r>
        <w:rPr>
          <w:rFonts w:ascii="Verdana" w:hAnsi="Verdana"/>
          <w:b/>
          <w:bCs/>
          <w:color w:val="000000"/>
          <w:sz w:val="27"/>
          <w:szCs w:val="27"/>
        </w:rPr>
        <w:t xml:space="preserve">Erfolgsrate von </w:t>
      </w:r>
      <w:proofErr w:type="spellStart"/>
      <w:r>
        <w:rPr>
          <w:rFonts w:ascii="Verdana" w:hAnsi="Verdana"/>
          <w:b/>
          <w:bCs/>
          <w:color w:val="000000"/>
          <w:sz w:val="27"/>
          <w:szCs w:val="27"/>
        </w:rPr>
        <w:t>Chemotherapien</w:t>
      </w:r>
      <w:proofErr w:type="spellEnd"/>
      <w:r>
        <w:rPr>
          <w:rFonts w:ascii="Verdana" w:hAnsi="Verdana"/>
          <w:b/>
          <w:bCs/>
          <w:color w:val="000000"/>
          <w:sz w:val="27"/>
          <w:szCs w:val="27"/>
        </w:rPr>
        <w:t xml:space="preserve"> nach 20 Jahren Forschung</w:t>
      </w:r>
    </w:p>
    <w:p w:rsidR="00F70BD2" w:rsidRDefault="00F70BD2" w:rsidP="00F70BD2">
      <w:pPr>
        <w:pStyle w:val="StandardWeb"/>
        <w:spacing w:before="0" w:beforeAutospacing="0" w:after="0" w:afterAutospacing="0"/>
        <w:jc w:val="center"/>
        <w:rPr>
          <w:color w:val="000000"/>
          <w:sz w:val="27"/>
          <w:szCs w:val="27"/>
        </w:rPr>
      </w:pPr>
      <w:r>
        <w:rPr>
          <w:rFonts w:ascii="Verdana" w:hAnsi="Verdana"/>
          <w:b/>
          <w:bCs/>
          <w:color w:val="000000"/>
          <w:sz w:val="27"/>
          <w:szCs w:val="27"/>
        </w:rPr>
        <w:t xml:space="preserve">liegt im Durchschnitt bei </w:t>
      </w:r>
      <w:r w:rsidRPr="005C2F76">
        <w:rPr>
          <w:rFonts w:ascii="Verdana" w:hAnsi="Verdana"/>
          <w:b/>
          <w:bCs/>
          <w:color w:val="FF0000"/>
          <w:sz w:val="27"/>
          <w:szCs w:val="27"/>
        </w:rPr>
        <w:t>2,2 Prozent!</w:t>
      </w:r>
    </w:p>
    <w:p w:rsidR="00F70BD2"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p>
    <w:p w:rsidR="00F70BD2"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In der Zeitschrift </w:t>
      </w:r>
      <w:r w:rsidRPr="005C2F76">
        <w:rPr>
          <w:rStyle w:val="apple-style-span"/>
          <w:rFonts w:asciiTheme="minorHAnsi" w:eastAsiaTheme="minorHAnsi" w:hAnsiTheme="minorHAnsi" w:cstheme="minorBidi"/>
          <w:b/>
          <w:i/>
          <w:sz w:val="18"/>
          <w:szCs w:val="18"/>
          <w:lang w:eastAsia="en-US"/>
        </w:rPr>
        <w:t xml:space="preserve">Clinical </w:t>
      </w:r>
      <w:proofErr w:type="spellStart"/>
      <w:r w:rsidRPr="005C2F76">
        <w:rPr>
          <w:rStyle w:val="apple-style-span"/>
          <w:rFonts w:asciiTheme="minorHAnsi" w:eastAsiaTheme="minorHAnsi" w:hAnsiTheme="minorHAnsi" w:cstheme="minorBidi"/>
          <w:b/>
          <w:i/>
          <w:sz w:val="18"/>
          <w:szCs w:val="18"/>
          <w:lang w:eastAsia="en-US"/>
        </w:rPr>
        <w:t>Oncology</w:t>
      </w:r>
      <w:proofErr w:type="spellEnd"/>
      <w:r w:rsidRPr="005C2F76">
        <w:rPr>
          <w:rStyle w:val="apple-style-span"/>
          <w:rFonts w:asciiTheme="minorHAnsi" w:eastAsiaTheme="minorHAnsi" w:hAnsiTheme="minorHAnsi" w:cstheme="minorBidi"/>
          <w:sz w:val="18"/>
          <w:szCs w:val="18"/>
          <w:lang w:eastAsia="en-US"/>
        </w:rPr>
        <w:t> erschien vor kurzem ein Artikel von drei australischen Professoren mit dem Titel: </w:t>
      </w:r>
      <w:r w:rsidRPr="005C2F76">
        <w:rPr>
          <w:rStyle w:val="apple-style-span"/>
          <w:rFonts w:asciiTheme="minorHAnsi" w:eastAsiaTheme="minorHAnsi" w:hAnsiTheme="minorHAnsi" w:cstheme="minorBidi"/>
          <w:b/>
          <w:i/>
          <w:sz w:val="18"/>
          <w:szCs w:val="18"/>
          <w:lang w:eastAsia="en-US"/>
        </w:rPr>
        <w:t xml:space="preserve">The </w:t>
      </w:r>
      <w:proofErr w:type="spellStart"/>
      <w:r w:rsidRPr="005C2F76">
        <w:rPr>
          <w:rStyle w:val="apple-style-span"/>
          <w:rFonts w:asciiTheme="minorHAnsi" w:eastAsiaTheme="minorHAnsi" w:hAnsiTheme="minorHAnsi" w:cstheme="minorBidi"/>
          <w:b/>
          <w:i/>
          <w:sz w:val="18"/>
          <w:szCs w:val="18"/>
          <w:lang w:eastAsia="en-US"/>
        </w:rPr>
        <w:t>Contribution</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of</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Cytotoxic</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Chemotherapy</w:t>
      </w:r>
      <w:proofErr w:type="spellEnd"/>
      <w:r w:rsidRPr="005C2F76">
        <w:rPr>
          <w:rStyle w:val="apple-style-span"/>
          <w:rFonts w:asciiTheme="minorHAnsi" w:eastAsiaTheme="minorHAnsi" w:hAnsiTheme="minorHAnsi" w:cstheme="minorBidi"/>
          <w:b/>
          <w:i/>
          <w:sz w:val="18"/>
          <w:szCs w:val="18"/>
          <w:lang w:eastAsia="en-US"/>
        </w:rPr>
        <w:t xml:space="preserve"> </w:t>
      </w:r>
      <w:proofErr w:type="spellStart"/>
      <w:r w:rsidRPr="005C2F76">
        <w:rPr>
          <w:rStyle w:val="apple-style-span"/>
          <w:rFonts w:asciiTheme="minorHAnsi" w:eastAsiaTheme="minorHAnsi" w:hAnsiTheme="minorHAnsi" w:cstheme="minorBidi"/>
          <w:b/>
          <w:i/>
          <w:sz w:val="18"/>
          <w:szCs w:val="18"/>
          <w:lang w:eastAsia="en-US"/>
        </w:rPr>
        <w:t>to</w:t>
      </w:r>
      <w:proofErr w:type="spellEnd"/>
      <w:r w:rsidRPr="005C2F76">
        <w:rPr>
          <w:rStyle w:val="apple-style-span"/>
          <w:rFonts w:asciiTheme="minorHAnsi" w:eastAsiaTheme="minorHAnsi" w:hAnsiTheme="minorHAnsi" w:cstheme="minorBidi"/>
          <w:b/>
          <w:i/>
          <w:sz w:val="18"/>
          <w:szCs w:val="18"/>
          <w:lang w:eastAsia="en-US"/>
        </w:rPr>
        <w:t xml:space="preserve"> 5-year </w:t>
      </w:r>
      <w:proofErr w:type="spellStart"/>
      <w:r w:rsidRPr="005C2F76">
        <w:rPr>
          <w:rStyle w:val="apple-style-span"/>
          <w:rFonts w:asciiTheme="minorHAnsi" w:eastAsiaTheme="minorHAnsi" w:hAnsiTheme="minorHAnsi" w:cstheme="minorBidi"/>
          <w:b/>
          <w:i/>
          <w:sz w:val="18"/>
          <w:szCs w:val="18"/>
          <w:lang w:eastAsia="en-US"/>
        </w:rPr>
        <w:t>Survival</w:t>
      </w:r>
      <w:proofErr w:type="spellEnd"/>
      <w:r w:rsidRPr="005C2F76">
        <w:rPr>
          <w:rStyle w:val="apple-style-span"/>
          <w:rFonts w:asciiTheme="minorHAnsi" w:eastAsiaTheme="minorHAnsi" w:hAnsiTheme="minorHAnsi" w:cstheme="minorBidi"/>
          <w:b/>
          <w:i/>
          <w:sz w:val="18"/>
          <w:szCs w:val="18"/>
          <w:lang w:eastAsia="en-US"/>
        </w:rPr>
        <w:t xml:space="preserve"> in Adult </w:t>
      </w:r>
      <w:proofErr w:type="spellStart"/>
      <w:r w:rsidRPr="005C2F76">
        <w:rPr>
          <w:rStyle w:val="apple-style-span"/>
          <w:rFonts w:asciiTheme="minorHAnsi" w:eastAsiaTheme="minorHAnsi" w:hAnsiTheme="minorHAnsi" w:cstheme="minorBidi"/>
          <w:b/>
          <w:i/>
          <w:sz w:val="18"/>
          <w:szCs w:val="18"/>
          <w:lang w:eastAsia="en-US"/>
        </w:rPr>
        <w:t>Malignancies.Darin</w:t>
      </w:r>
      <w:proofErr w:type="spellEnd"/>
      <w:r w:rsidRPr="005C2F76">
        <w:rPr>
          <w:rStyle w:val="apple-style-span"/>
          <w:rFonts w:asciiTheme="minorHAnsi" w:eastAsiaTheme="minorHAnsi" w:hAnsiTheme="minorHAnsi" w:cstheme="minorBidi"/>
          <w:sz w:val="18"/>
          <w:szCs w:val="18"/>
          <w:lang w:eastAsia="en-US"/>
        </w:rPr>
        <w:t xml:space="preserve"> werden die Daten klinischer Studien mit </w:t>
      </w:r>
      <w:proofErr w:type="spellStart"/>
      <w:r w:rsidRPr="005C2F76">
        <w:rPr>
          <w:rStyle w:val="apple-style-span"/>
          <w:rFonts w:asciiTheme="minorHAnsi" w:eastAsiaTheme="minorHAnsi" w:hAnsiTheme="minorHAnsi" w:cstheme="minorBidi"/>
          <w:sz w:val="18"/>
          <w:szCs w:val="18"/>
          <w:lang w:eastAsia="en-US"/>
        </w:rPr>
        <w:t>Chemotherapie</w:t>
      </w:r>
      <w:r>
        <w:rPr>
          <w:rStyle w:val="apple-style-span"/>
          <w:rFonts w:asciiTheme="minorHAnsi" w:eastAsiaTheme="minorHAnsi" w:hAnsiTheme="minorHAnsi" w:cstheme="minorBidi"/>
          <w:sz w:val="18"/>
          <w:szCs w:val="18"/>
          <w:lang w:eastAsia="en-US"/>
        </w:rPr>
        <w:t>n</w:t>
      </w:r>
      <w:proofErr w:type="spellEnd"/>
      <w:r w:rsidRPr="005C2F76">
        <w:rPr>
          <w:rStyle w:val="apple-style-span"/>
          <w:rFonts w:asciiTheme="minorHAnsi" w:eastAsiaTheme="minorHAnsi" w:hAnsiTheme="minorHAnsi" w:cstheme="minorBidi"/>
          <w:sz w:val="18"/>
          <w:szCs w:val="18"/>
          <w:lang w:eastAsia="en-US"/>
        </w:rPr>
        <w:t xml:space="preserve"> der letzten 20 Jahre in Australien und den USA untersucht. Das Ergebnis ist gelinde ausgedrückt niederschmetternd. Obwohl in Australien gerade mal 2,3 % und in den USA sogar nur 2,1 % aller Patienten von einer Chemotherapie profitieren, in Bezug auf das 5-jährige Überleben, wird trotzdem Krebspatienten immer noch angeraten, genau diese Therapien zu machen.</w:t>
      </w:r>
    </w:p>
    <w:p w:rsidR="00F70BD2"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 xml:space="preserve">Insgesamt wurden die Daten von 72.964 Patienten in Australien und 154.971 Patienten in den USA ausgewertet, die alle </w:t>
      </w:r>
      <w:proofErr w:type="spellStart"/>
      <w:r w:rsidRPr="005C2F76">
        <w:rPr>
          <w:rStyle w:val="apple-style-span"/>
          <w:rFonts w:asciiTheme="minorHAnsi" w:eastAsiaTheme="minorHAnsi" w:hAnsiTheme="minorHAnsi" w:cstheme="minorBidi"/>
          <w:sz w:val="18"/>
          <w:szCs w:val="18"/>
          <w:lang w:eastAsia="en-US"/>
        </w:rPr>
        <w:t>Chemotherapien</w:t>
      </w:r>
      <w:proofErr w:type="spellEnd"/>
      <w:r w:rsidRPr="005C2F76">
        <w:rPr>
          <w:rStyle w:val="apple-style-span"/>
          <w:rFonts w:asciiTheme="minorHAnsi" w:eastAsiaTheme="minorHAnsi" w:hAnsiTheme="minorHAnsi" w:cstheme="minorBidi"/>
          <w:sz w:val="18"/>
          <w:szCs w:val="18"/>
          <w:lang w:eastAsia="en-US"/>
        </w:rPr>
        <w:t xml:space="preserve"> erhielten. Hier kann wohl niemand mehr behaupten, das wären ja nur die Daten von ein paar Patienten und daher nicht relevant. Die Autoren fragen zurecht, wie es möglich ist, dass eine Therapie, die so wenig zum Überleben von Patienten in den letzten 20 Jahren beigetragen hat, gleichzeitig so erfolgreich in den Verkaufsstatistiken sein kann.</w:t>
      </w:r>
    </w:p>
    <w:p w:rsidR="00F70BD2" w:rsidRPr="005C2F76"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Richtig hart wird es vor allem, wenn man einzelne Krebsarten herausnimmt und die Erfolge der letzten 20 Jahre anschaut. So wurden in den USA seit 1985 bei folgenden Krebsarten exakt 0 Prozent Fortschritte gemacht:</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Pankreaskrebs</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Weichteil Sarkom</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Melanom</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Eierstockkrebs</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Prostata</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Nierenkrebs</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Blasenkrebs</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Gehirntumore</w:t>
      </w:r>
    </w:p>
    <w:p w:rsidR="00F70BD2" w:rsidRPr="005C2F76" w:rsidRDefault="00F70BD2" w:rsidP="00F70BD2">
      <w:pPr>
        <w:pStyle w:val="StandardWeb"/>
        <w:numPr>
          <w:ilvl w:val="0"/>
          <w:numId w:val="1"/>
        </w:numPr>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 xml:space="preserve">Multiples </w:t>
      </w:r>
      <w:proofErr w:type="spellStart"/>
      <w:r w:rsidRPr="005C2F76">
        <w:rPr>
          <w:rStyle w:val="apple-style-span"/>
          <w:rFonts w:asciiTheme="minorHAnsi" w:eastAsiaTheme="minorHAnsi" w:hAnsiTheme="minorHAnsi" w:cstheme="minorBidi"/>
          <w:sz w:val="18"/>
          <w:szCs w:val="18"/>
          <w:lang w:eastAsia="en-US"/>
        </w:rPr>
        <w:t>Myelom</w:t>
      </w:r>
      <w:proofErr w:type="spellEnd"/>
    </w:p>
    <w:p w:rsidR="00F70BD2"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Bei Prostatakrebs wurden z. B. allein in den USA über 23.000 Patienten analysiert. Aber auch bei den „Erfolgsraten“ kann man nur schmunzeln: Bei Brustkrebs waren es 1,4 %, bei Darmkrebs 1,0 % und bei Magenkrebs 0,7 %. Und das nach über 20 Jahren intensiver Forschung auf dem Gebiet der Chemotherapie und dem Einsatz von Milliarden Forschungs- UND Spendengeldern an die großen Krebsorganisationen.</w:t>
      </w:r>
    </w:p>
    <w:p w:rsidR="00F70BD2"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 xml:space="preserve"> Jeder logisch denkende Mensch wäre nun zu einem Umdenken gezwungen. Doch welche Reaktion dürfen wir jetzt erwarten? Sicherlich genau das Gegenteil. Es wird zukünftig noch mehr „Anstrengungen“ geben, um zu beweisen, dass man in den letzten Jahrzehnten das Richtige getan hat, denn der Gesichtsverlust wäre ja sonst vernichtend groß. </w:t>
      </w:r>
    </w:p>
    <w:p w:rsidR="00F70BD2" w:rsidRPr="005C2F76" w:rsidRDefault="00F70BD2" w:rsidP="00F70BD2">
      <w:pPr>
        <w:pStyle w:val="StandardWeb"/>
        <w:spacing w:before="0" w:beforeAutospacing="0" w:after="0" w:afterAutospacing="0" w:line="268" w:lineRule="atLeast"/>
        <w:jc w:val="both"/>
        <w:rPr>
          <w:rStyle w:val="apple-style-span"/>
          <w:rFonts w:asciiTheme="minorHAnsi" w:eastAsiaTheme="minorHAnsi" w:hAnsiTheme="minorHAnsi" w:cstheme="minorBidi"/>
          <w:sz w:val="18"/>
          <w:szCs w:val="18"/>
          <w:lang w:eastAsia="en-US"/>
        </w:rPr>
      </w:pPr>
      <w:r w:rsidRPr="005C2F76">
        <w:rPr>
          <w:rStyle w:val="apple-style-span"/>
          <w:rFonts w:asciiTheme="minorHAnsi" w:eastAsiaTheme="minorHAnsi" w:hAnsiTheme="minorHAnsi" w:cstheme="minorBidi"/>
          <w:sz w:val="18"/>
          <w:szCs w:val="18"/>
          <w:lang w:eastAsia="en-US"/>
        </w:rPr>
        <w:t>Nachfolgend die genauen Zahlen der betroffenen Menschen in Australien und den USA, die sich in der Hoffnung auf eine Verbesserung ihres Gesundheitszustandes einer Chemotherapie mit all ihren schrecklichen Auswirkungen unterzogen haben – und enttäuscht wurden. Auffallend sind die ähnlichen Ergebnisse!</w:t>
      </w:r>
    </w:p>
    <w:p w:rsidR="00F70BD2" w:rsidRDefault="00F70BD2" w:rsidP="00F70BD2">
      <w:pPr>
        <w:pStyle w:val="StandardWeb"/>
        <w:spacing w:before="0" w:beforeAutospacing="0" w:after="0" w:afterAutospacing="0"/>
        <w:jc w:val="center"/>
        <w:rPr>
          <w:rFonts w:ascii="Verdana" w:hAnsi="Verdana"/>
          <w:b/>
          <w:bCs/>
          <w:color w:val="000000"/>
          <w:sz w:val="27"/>
          <w:szCs w:val="27"/>
          <w:u w:val="single"/>
        </w:rPr>
      </w:pPr>
      <w:r>
        <w:rPr>
          <w:rFonts w:ascii="Verdana" w:hAnsi="Verdana"/>
          <w:b/>
          <w:bCs/>
          <w:color w:val="000000"/>
          <w:sz w:val="27"/>
          <w:szCs w:val="27"/>
          <w:u w:val="single"/>
        </w:rPr>
        <w:t>Am 10.03.2007 aus:</w:t>
      </w:r>
    </w:p>
    <w:p w:rsidR="00F70BD2" w:rsidRDefault="00F70BD2" w:rsidP="00F70BD2">
      <w:pPr>
        <w:pStyle w:val="StandardWeb"/>
        <w:spacing w:before="0" w:beforeAutospacing="0" w:after="0" w:afterAutospacing="0"/>
        <w:jc w:val="center"/>
        <w:rPr>
          <w:color w:val="000000"/>
          <w:sz w:val="27"/>
          <w:szCs w:val="27"/>
        </w:rPr>
      </w:pPr>
    </w:p>
    <w:p w:rsidR="00F70BD2" w:rsidRDefault="00F70BD2" w:rsidP="00F70BD2">
      <w:pPr>
        <w:pStyle w:val="StandardWeb"/>
        <w:spacing w:before="0" w:beforeAutospacing="0" w:after="0" w:afterAutospacing="0"/>
        <w:jc w:val="center"/>
        <w:rPr>
          <w:color w:val="000000"/>
        </w:rPr>
      </w:pPr>
      <w:hyperlink r:id="rId7" w:history="1">
        <w:r w:rsidRPr="005C2F76">
          <w:rPr>
            <w:rStyle w:val="Hyperlink"/>
          </w:rPr>
          <w:t>http://www.cancerdecisions.com/030506_page.html</w:t>
        </w:r>
      </w:hyperlink>
    </w:p>
    <w:p w:rsidR="00F70BD2" w:rsidRDefault="00F70BD2" w:rsidP="00F70BD2">
      <w:pPr>
        <w:pStyle w:val="StandardWeb"/>
        <w:spacing w:before="0" w:beforeAutospacing="0" w:after="0" w:afterAutospacing="0"/>
        <w:jc w:val="center"/>
        <w:rPr>
          <w:rFonts w:ascii="Verdana" w:hAnsi="Verdana"/>
          <w:color w:val="000000"/>
          <w:sz w:val="20"/>
          <w:szCs w:val="20"/>
          <w:lang w:val="en-US"/>
        </w:rPr>
      </w:pPr>
      <w:proofErr w:type="spellStart"/>
      <w:proofErr w:type="gramStart"/>
      <w:r w:rsidRPr="005C2F76">
        <w:rPr>
          <w:rFonts w:ascii="Verdana" w:hAnsi="Verdana"/>
          <w:color w:val="000000"/>
          <w:sz w:val="20"/>
          <w:szCs w:val="20"/>
          <w:lang w:val="en-US"/>
        </w:rPr>
        <w:t>aus</w:t>
      </w:r>
      <w:proofErr w:type="spellEnd"/>
      <w:proofErr w:type="gramEnd"/>
      <w:r w:rsidRPr="005C2F76">
        <w:rPr>
          <w:rFonts w:ascii="Verdana" w:hAnsi="Verdana"/>
          <w:color w:val="000000"/>
          <w:sz w:val="20"/>
          <w:szCs w:val="20"/>
          <w:lang w:val="en-US"/>
        </w:rPr>
        <w:t xml:space="preserve"> </w:t>
      </w:r>
      <w:proofErr w:type="spellStart"/>
      <w:r w:rsidRPr="005C2F76">
        <w:rPr>
          <w:rFonts w:ascii="Verdana" w:hAnsi="Verdana"/>
          <w:color w:val="000000"/>
          <w:sz w:val="20"/>
          <w:szCs w:val="20"/>
          <w:lang w:val="en-US"/>
        </w:rPr>
        <w:t>dem</w:t>
      </w:r>
      <w:proofErr w:type="spellEnd"/>
      <w:r w:rsidRPr="005C2F76">
        <w:rPr>
          <w:rFonts w:ascii="Verdana" w:hAnsi="Verdana"/>
          <w:color w:val="000000"/>
          <w:sz w:val="20"/>
          <w:szCs w:val="20"/>
          <w:lang w:val="en-US"/>
        </w:rPr>
        <w:t xml:space="preserve"> </w:t>
      </w:r>
      <w:proofErr w:type="spellStart"/>
      <w:r w:rsidRPr="005C2F76">
        <w:rPr>
          <w:rFonts w:ascii="Verdana" w:hAnsi="Verdana"/>
          <w:color w:val="000000"/>
          <w:sz w:val="20"/>
          <w:szCs w:val="20"/>
          <w:lang w:val="en-US"/>
        </w:rPr>
        <w:t>Artikel</w:t>
      </w:r>
      <w:proofErr w:type="spellEnd"/>
    </w:p>
    <w:p w:rsidR="00F70BD2" w:rsidRPr="005C2F76" w:rsidRDefault="00F70BD2" w:rsidP="00F70BD2">
      <w:pPr>
        <w:pStyle w:val="StandardWeb"/>
        <w:spacing w:before="0" w:beforeAutospacing="0" w:after="0" w:afterAutospacing="0"/>
        <w:jc w:val="center"/>
        <w:rPr>
          <w:color w:val="000000"/>
          <w:sz w:val="20"/>
          <w:szCs w:val="20"/>
          <w:lang w:val="en-US"/>
        </w:rPr>
      </w:pPr>
    </w:p>
    <w:p w:rsidR="00F70BD2" w:rsidRPr="005C2F76" w:rsidRDefault="00F70BD2" w:rsidP="00F70BD2">
      <w:pPr>
        <w:pStyle w:val="StandardWeb"/>
        <w:spacing w:before="0" w:beforeAutospacing="0" w:after="0" w:afterAutospacing="0"/>
        <w:jc w:val="center"/>
        <w:rPr>
          <w:color w:val="000000"/>
          <w:sz w:val="27"/>
          <w:szCs w:val="27"/>
          <w:lang w:val="en-US"/>
        </w:rPr>
      </w:pPr>
      <w:r w:rsidRPr="005C2F76">
        <w:rPr>
          <w:rFonts w:ascii="Verdana" w:hAnsi="Verdana"/>
          <w:b/>
          <w:bCs/>
          <w:color w:val="800000"/>
          <w:sz w:val="27"/>
          <w:szCs w:val="27"/>
          <w:lang w:val="en-US"/>
        </w:rPr>
        <w:t xml:space="preserve">“The Contribution of </w:t>
      </w:r>
      <w:proofErr w:type="spellStart"/>
      <w:r w:rsidRPr="005C2F76">
        <w:rPr>
          <w:rFonts w:ascii="Verdana" w:hAnsi="Verdana"/>
          <w:b/>
          <w:bCs/>
          <w:color w:val="800000"/>
          <w:sz w:val="27"/>
          <w:szCs w:val="27"/>
          <w:lang w:val="en-US"/>
        </w:rPr>
        <w:t>Cytotoxic</w:t>
      </w:r>
      <w:proofErr w:type="spellEnd"/>
      <w:r w:rsidRPr="005C2F76">
        <w:rPr>
          <w:rFonts w:ascii="Verdana" w:hAnsi="Verdana"/>
          <w:b/>
          <w:bCs/>
          <w:color w:val="800000"/>
          <w:sz w:val="27"/>
          <w:szCs w:val="27"/>
          <w:lang w:val="en-US"/>
        </w:rPr>
        <w:t xml:space="preserve"> Chemotherapy</w:t>
      </w:r>
      <w:r w:rsidRPr="005C2F76">
        <w:rPr>
          <w:rFonts w:ascii="Verdana" w:hAnsi="Verdana"/>
          <w:b/>
          <w:bCs/>
          <w:color w:val="800000"/>
          <w:sz w:val="27"/>
          <w:szCs w:val="27"/>
          <w:lang w:val="en-US"/>
        </w:rPr>
        <w:br/>
        <w:t>to 5-year Survival in Adult Malignancies”</w:t>
      </w:r>
    </w:p>
    <w:p w:rsidR="00F70BD2" w:rsidRDefault="00F70BD2" w:rsidP="00F70BD2">
      <w:pPr>
        <w:pStyle w:val="StandardWeb"/>
        <w:spacing w:before="0" w:beforeAutospacing="0" w:after="0" w:afterAutospacing="0"/>
        <w:jc w:val="center"/>
        <w:rPr>
          <w:i/>
          <w:iCs/>
          <w:color w:val="000000"/>
          <w:sz w:val="16"/>
          <w:szCs w:val="16"/>
        </w:rPr>
      </w:pPr>
      <w:r w:rsidRPr="005C2F76">
        <w:rPr>
          <w:rFonts w:ascii="Verdana" w:hAnsi="Verdana"/>
          <w:color w:val="000000"/>
          <w:sz w:val="16"/>
          <w:szCs w:val="16"/>
        </w:rPr>
        <w:t>aus</w:t>
      </w:r>
      <w:r>
        <w:rPr>
          <w:rFonts w:ascii="Verdana" w:hAnsi="Verdana"/>
          <w:color w:val="000000"/>
          <w:sz w:val="27"/>
          <w:szCs w:val="27"/>
        </w:rPr>
        <w:t xml:space="preserve"> </w:t>
      </w:r>
      <w:r w:rsidRPr="005C2F76">
        <w:rPr>
          <w:rFonts w:ascii="Verdana" w:hAnsi="Verdana"/>
          <w:color w:val="000000"/>
          <w:sz w:val="16"/>
          <w:szCs w:val="16"/>
        </w:rPr>
        <w:t>der Zeitschrift</w:t>
      </w:r>
      <w:r w:rsidRPr="005C2F76">
        <w:rPr>
          <w:rStyle w:val="apple-converted-space"/>
          <w:rFonts w:ascii="Verdana" w:hAnsi="Verdana"/>
          <w:color w:val="000000"/>
          <w:sz w:val="16"/>
          <w:szCs w:val="16"/>
        </w:rPr>
        <w:t> </w:t>
      </w:r>
      <w:r w:rsidRPr="005C2F76">
        <w:rPr>
          <w:rFonts w:ascii="Verdana" w:hAnsi="Verdana"/>
          <w:b/>
          <w:bCs/>
          <w:i/>
          <w:iCs/>
          <w:color w:val="000000"/>
          <w:sz w:val="16"/>
          <w:szCs w:val="16"/>
        </w:rPr>
        <w:t xml:space="preserve">Clinical </w:t>
      </w:r>
      <w:proofErr w:type="spellStart"/>
      <w:r w:rsidRPr="005C2F76">
        <w:rPr>
          <w:rFonts w:ascii="Verdana" w:hAnsi="Verdana"/>
          <w:b/>
          <w:bCs/>
          <w:i/>
          <w:iCs/>
          <w:color w:val="000000"/>
          <w:sz w:val="16"/>
          <w:szCs w:val="16"/>
        </w:rPr>
        <w:t>Oncology</w:t>
      </w:r>
      <w:proofErr w:type="spellEnd"/>
      <w:r w:rsidRPr="005C2F76">
        <w:rPr>
          <w:rFonts w:ascii="Verdana" w:hAnsi="Verdana"/>
          <w:b/>
          <w:bCs/>
          <w:color w:val="000000"/>
          <w:sz w:val="16"/>
          <w:szCs w:val="16"/>
        </w:rPr>
        <w:t>,</w:t>
      </w:r>
      <w:r w:rsidRPr="005C2F76">
        <w:rPr>
          <w:rStyle w:val="apple-converted-space"/>
          <w:rFonts w:ascii="Verdana" w:hAnsi="Verdana"/>
          <w:color w:val="000000"/>
          <w:sz w:val="16"/>
          <w:szCs w:val="16"/>
        </w:rPr>
        <w:t> </w:t>
      </w:r>
      <w:r w:rsidRPr="005C2F76">
        <w:rPr>
          <w:rFonts w:ascii="Verdana" w:hAnsi="Verdana"/>
          <w:i/>
          <w:iCs/>
          <w:color w:val="000000"/>
          <w:sz w:val="16"/>
          <w:szCs w:val="16"/>
        </w:rPr>
        <w:t>2004;16:549-560</w:t>
      </w:r>
      <w:r w:rsidRPr="005C2F76">
        <w:rPr>
          <w:i/>
          <w:iCs/>
          <w:color w:val="000000"/>
          <w:sz w:val="16"/>
          <w:szCs w:val="16"/>
        </w:rPr>
        <w:t>.</w:t>
      </w:r>
    </w:p>
    <w:p w:rsidR="00F70BD2" w:rsidRDefault="00F70BD2" w:rsidP="00F70BD2">
      <w:pPr>
        <w:pStyle w:val="StandardWeb"/>
        <w:spacing w:before="0" w:beforeAutospacing="0" w:after="0" w:afterAutospacing="0"/>
        <w:jc w:val="center"/>
        <w:rPr>
          <w:color w:val="000000"/>
          <w:sz w:val="27"/>
          <w:szCs w:val="27"/>
        </w:rPr>
      </w:pPr>
    </w:p>
    <w:p w:rsidR="00F70BD2" w:rsidRDefault="00F70BD2" w:rsidP="00F70BD2">
      <w:pPr>
        <w:pStyle w:val="StandardWeb"/>
        <w:spacing w:before="0" w:beforeAutospacing="0" w:after="0" w:afterAutospacing="0"/>
        <w:jc w:val="center"/>
        <w:rPr>
          <w:color w:val="000000"/>
          <w:sz w:val="27"/>
          <w:szCs w:val="27"/>
        </w:rPr>
      </w:pPr>
      <w:r>
        <w:rPr>
          <w:rFonts w:ascii="Verdana" w:hAnsi="Verdana"/>
          <w:b/>
          <w:bCs/>
          <w:color w:val="800000"/>
          <w:sz w:val="27"/>
          <w:szCs w:val="27"/>
        </w:rPr>
        <w:t>Der Effekt der zytotoxischen (zellschädigenden) Chemotherapie auf die 5-Jahre-Überlebenszeit von australischen und amerikanischen Erwachsenen</w:t>
      </w:r>
    </w:p>
    <w:p w:rsidR="00F70BD2" w:rsidRPr="005C2F76" w:rsidRDefault="00F70BD2" w:rsidP="00F70BD2">
      <w:pPr>
        <w:pStyle w:val="StandardWeb"/>
        <w:spacing w:before="0" w:beforeAutospacing="0" w:after="0" w:afterAutospacing="0"/>
        <w:jc w:val="center"/>
        <w:rPr>
          <w:color w:val="000000"/>
          <w:sz w:val="16"/>
          <w:szCs w:val="16"/>
        </w:rPr>
      </w:pPr>
      <w:r w:rsidRPr="005C2F76">
        <w:rPr>
          <w:rFonts w:ascii="Verdana" w:hAnsi="Verdana"/>
          <w:color w:val="000000"/>
          <w:sz w:val="16"/>
          <w:szCs w:val="16"/>
        </w:rPr>
        <w:t>(Tabellen 1 und 2 zusammengefasst; Datenerfassung Januar 1990 – Januar 2004)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16"/>
        <w:gridCol w:w="1191"/>
        <w:gridCol w:w="1098"/>
        <w:gridCol w:w="1338"/>
        <w:gridCol w:w="1185"/>
        <w:gridCol w:w="1632"/>
      </w:tblGrid>
      <w:tr w:rsidR="00F70BD2" w:rsidRPr="00866AA0" w:rsidTr="00542A49">
        <w:trPr>
          <w:trHeight w:val="1206"/>
          <w:tblCellSpacing w:w="7" w:type="dxa"/>
        </w:trPr>
        <w:tc>
          <w:tcPr>
            <w:tcW w:w="2619"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b/>
                <w:bCs/>
                <w:sz w:val="24"/>
                <w:szCs w:val="24"/>
                <w:lang w:eastAsia="de-AT"/>
              </w:rPr>
            </w:pPr>
            <w:r w:rsidRPr="00866AA0">
              <w:rPr>
                <w:rFonts w:ascii="Times New Roman" w:eastAsia="Times New Roman" w:hAnsi="Times New Roman" w:cs="Times New Roman"/>
                <w:b/>
                <w:bCs/>
                <w:sz w:val="24"/>
                <w:szCs w:val="24"/>
                <w:lang w:eastAsia="de-AT"/>
              </w:rPr>
              <w:lastRenderedPageBreak/>
              <w:t>Bösartiger Krebs</w:t>
            </w:r>
            <w:r w:rsidRPr="00866AA0">
              <w:rPr>
                <w:rFonts w:ascii="Times New Roman" w:eastAsia="Times New Roman" w:hAnsi="Times New Roman" w:cs="Times New Roman"/>
                <w:b/>
                <w:bCs/>
                <w:sz w:val="24"/>
                <w:szCs w:val="24"/>
                <w:lang w:eastAsia="de-AT"/>
              </w:rPr>
              <w:br/>
              <w:t>(</w:t>
            </w:r>
            <w:proofErr w:type="spellStart"/>
            <w:r w:rsidRPr="00866AA0">
              <w:rPr>
                <w:rFonts w:ascii="Times New Roman" w:eastAsia="Times New Roman" w:hAnsi="Times New Roman" w:cs="Times New Roman"/>
                <w:b/>
                <w:bCs/>
                <w:sz w:val="24"/>
                <w:szCs w:val="24"/>
                <w:lang w:eastAsia="de-AT"/>
              </w:rPr>
              <w:t>Malignancy</w:t>
            </w:r>
            <w:proofErr w:type="spellEnd"/>
            <w:r w:rsidRPr="00866AA0">
              <w:rPr>
                <w:rFonts w:ascii="Times New Roman" w:eastAsia="Times New Roman" w:hAnsi="Times New Roman" w:cs="Times New Roman"/>
                <w:b/>
                <w:bCs/>
                <w:sz w:val="24"/>
                <w:szCs w:val="24"/>
                <w:lang w:eastAsia="de-AT"/>
              </w:rPr>
              <w:t>)</w:t>
            </w:r>
          </w:p>
        </w:tc>
        <w:tc>
          <w:tcPr>
            <w:tcW w:w="1188"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0"/>
                <w:szCs w:val="20"/>
                <w:lang w:val="en-US" w:eastAsia="de-AT"/>
              </w:rPr>
            </w:pPr>
            <w:r w:rsidRPr="00866AA0">
              <w:rPr>
                <w:rFonts w:eastAsia="Times New Roman" w:cstheme="minorHAnsi"/>
                <w:b/>
                <w:bCs/>
                <w:sz w:val="20"/>
                <w:szCs w:val="20"/>
                <w:lang w:val="en-US" w:eastAsia="de-AT"/>
              </w:rPr>
              <w:t>ICD-9</w:t>
            </w:r>
            <w:r w:rsidRPr="00E40384">
              <w:rPr>
                <w:rFonts w:eastAsia="Times New Roman" w:cstheme="minorHAnsi"/>
                <w:b/>
                <w:bCs/>
                <w:sz w:val="20"/>
                <w:szCs w:val="20"/>
                <w:lang w:val="en-US" w:eastAsia="de-AT"/>
              </w:rPr>
              <w:t xml:space="preserve"> </w:t>
            </w:r>
            <w:r w:rsidRPr="00866AA0">
              <w:rPr>
                <w:rFonts w:eastAsia="Times New Roman" w:cstheme="minorHAnsi"/>
                <w:b/>
                <w:bCs/>
                <w:sz w:val="20"/>
                <w:szCs w:val="20"/>
                <w:lang w:val="en-US" w:eastAsia="de-AT"/>
              </w:rPr>
              <w:t>International Classification</w:t>
            </w:r>
            <w:r w:rsidRPr="00E40384">
              <w:rPr>
                <w:rFonts w:eastAsia="Times New Roman" w:cstheme="minorHAnsi"/>
                <w:b/>
                <w:bCs/>
                <w:sz w:val="20"/>
                <w:szCs w:val="20"/>
                <w:lang w:val="en-US" w:eastAsia="de-AT"/>
              </w:rPr>
              <w:t xml:space="preserve"> </w:t>
            </w:r>
            <w:r w:rsidRPr="00866AA0">
              <w:rPr>
                <w:rFonts w:eastAsia="Times New Roman" w:cstheme="minorHAnsi"/>
                <w:b/>
                <w:bCs/>
                <w:sz w:val="20"/>
                <w:szCs w:val="20"/>
                <w:lang w:val="en-US" w:eastAsia="de-AT"/>
              </w:rPr>
              <w:t>of Diseases</w:t>
            </w:r>
            <w:r w:rsidRPr="00E40384">
              <w:rPr>
                <w:rFonts w:eastAsia="Times New Roman" w:cstheme="minorHAnsi"/>
                <w:b/>
                <w:bCs/>
                <w:sz w:val="20"/>
                <w:szCs w:val="20"/>
                <w:lang w:val="en-US" w:eastAsia="de-AT"/>
              </w:rPr>
              <w:t xml:space="preserve">  </w:t>
            </w:r>
          </w:p>
        </w:tc>
        <w:tc>
          <w:tcPr>
            <w:tcW w:w="1091"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Land</w:t>
            </w:r>
          </w:p>
        </w:tc>
        <w:tc>
          <w:tcPr>
            <w:tcW w:w="133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0"/>
                <w:szCs w:val="20"/>
                <w:lang w:eastAsia="de-AT"/>
              </w:rPr>
            </w:pPr>
            <w:r w:rsidRPr="00866AA0">
              <w:rPr>
                <w:rFonts w:eastAsia="Times New Roman" w:cstheme="minorHAnsi"/>
                <w:b/>
                <w:bCs/>
                <w:sz w:val="20"/>
                <w:szCs w:val="20"/>
                <w:lang w:eastAsia="de-AT"/>
              </w:rPr>
              <w:t>Anzahl der Krebskranken</w:t>
            </w:r>
            <w:r w:rsidRPr="00E40384">
              <w:rPr>
                <w:rFonts w:eastAsia="Times New Roman" w:cstheme="minorHAnsi"/>
                <w:b/>
                <w:bCs/>
                <w:sz w:val="20"/>
                <w:szCs w:val="20"/>
                <w:lang w:eastAsia="de-AT"/>
              </w:rPr>
              <w:t xml:space="preserve"> </w:t>
            </w:r>
            <w:r w:rsidRPr="00866AA0">
              <w:rPr>
                <w:rFonts w:eastAsia="Times New Roman" w:cstheme="minorHAnsi"/>
                <w:b/>
                <w:bCs/>
                <w:sz w:val="20"/>
                <w:szCs w:val="20"/>
                <w:lang w:eastAsia="de-AT"/>
              </w:rPr>
              <w:t>&gt; 20 Jahre</w:t>
            </w:r>
          </w:p>
        </w:tc>
        <w:tc>
          <w:tcPr>
            <w:tcW w:w="1206"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F70BD2" w:rsidRPr="00866AA0" w:rsidRDefault="00F70BD2" w:rsidP="00542A49">
            <w:pPr>
              <w:spacing w:before="100" w:beforeAutospacing="1" w:after="100" w:afterAutospacing="1" w:line="240" w:lineRule="auto"/>
              <w:jc w:val="center"/>
              <w:rPr>
                <w:rFonts w:eastAsia="Times New Roman" w:cstheme="minorHAnsi"/>
                <w:sz w:val="16"/>
                <w:szCs w:val="16"/>
                <w:lang w:eastAsia="de-AT"/>
              </w:rPr>
            </w:pPr>
            <w:r w:rsidRPr="00866AA0">
              <w:rPr>
                <w:rFonts w:eastAsia="Times New Roman" w:cstheme="minorHAnsi"/>
                <w:b/>
                <w:bCs/>
                <w:sz w:val="16"/>
                <w:szCs w:val="16"/>
                <w:lang w:eastAsia="de-AT"/>
              </w:rPr>
              <w:t>Absolute Anzahl d. Überlebenden nach 5 Jahren aufgrund der Chemotherapie</w:t>
            </w:r>
          </w:p>
        </w:tc>
        <w:tc>
          <w:tcPr>
            <w:tcW w:w="1628" w:type="dxa"/>
            <w:tcBorders>
              <w:top w:val="outset" w:sz="6" w:space="0" w:color="auto"/>
              <w:left w:val="outset" w:sz="6" w:space="0" w:color="auto"/>
              <w:bottom w:val="outset" w:sz="6" w:space="0" w:color="auto"/>
              <w:right w:val="outset" w:sz="6" w:space="0" w:color="auto"/>
            </w:tcBorders>
            <w:shd w:val="clear" w:color="auto" w:fill="FFFFCC"/>
            <w:hideMark/>
          </w:tcPr>
          <w:p w:rsidR="00F70BD2" w:rsidRPr="00E40384" w:rsidRDefault="00F70BD2" w:rsidP="00542A49">
            <w:pPr>
              <w:spacing w:line="240" w:lineRule="auto"/>
              <w:jc w:val="center"/>
              <w:rPr>
                <w:rFonts w:eastAsia="Times New Roman" w:cstheme="minorHAnsi"/>
                <w:b/>
                <w:bCs/>
                <w:sz w:val="10"/>
                <w:szCs w:val="10"/>
                <w:lang w:eastAsia="de-AT"/>
              </w:rPr>
            </w:pPr>
          </w:p>
          <w:p w:rsidR="00F70BD2" w:rsidRPr="00866AA0" w:rsidRDefault="00F70BD2" w:rsidP="00542A49">
            <w:pPr>
              <w:spacing w:line="240" w:lineRule="auto"/>
              <w:jc w:val="center"/>
              <w:rPr>
                <w:rFonts w:eastAsia="Times New Roman" w:cstheme="minorHAnsi"/>
                <w:b/>
                <w:bCs/>
                <w:szCs w:val="18"/>
                <w:lang w:eastAsia="de-AT"/>
              </w:rPr>
            </w:pPr>
            <w:r w:rsidRPr="00E40384">
              <w:rPr>
                <w:rFonts w:eastAsia="Times New Roman" w:cstheme="minorHAnsi"/>
                <w:b/>
                <w:bCs/>
                <w:szCs w:val="18"/>
                <w:lang w:eastAsia="de-AT"/>
              </w:rPr>
              <w:t xml:space="preserve">Prozentanteil der </w:t>
            </w:r>
            <w:r w:rsidRPr="00866AA0">
              <w:rPr>
                <w:rFonts w:eastAsia="Times New Roman" w:cstheme="minorHAnsi"/>
                <w:b/>
                <w:bCs/>
                <w:szCs w:val="18"/>
                <w:lang w:eastAsia="de-AT"/>
              </w:rPr>
              <w:t>5-Jahre Überlebenden aufgrund der Chemotherapie</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Kopf und Nacken</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head</w:t>
            </w:r>
            <w:proofErr w:type="spellEnd"/>
            <w:r w:rsidRPr="00866AA0">
              <w:rPr>
                <w:rFonts w:ascii="Verdana" w:eastAsia="Times New Roman" w:hAnsi="Verdana" w:cs="Times New Roman"/>
                <w:sz w:val="20"/>
                <w:szCs w:val="20"/>
                <w:lang w:eastAsia="de-AT"/>
              </w:rPr>
              <w:t xml:space="preserve"> </w:t>
            </w:r>
            <w:proofErr w:type="spellStart"/>
            <w:r w:rsidRPr="00866AA0">
              <w:rPr>
                <w:rFonts w:ascii="Verdana" w:eastAsia="Times New Roman" w:hAnsi="Verdana" w:cs="Times New Roman"/>
                <w:sz w:val="20"/>
                <w:szCs w:val="20"/>
                <w:lang w:eastAsia="de-AT"/>
              </w:rPr>
              <w:t>and</w:t>
            </w:r>
            <w:proofErr w:type="spellEnd"/>
            <w:r w:rsidRPr="00866AA0">
              <w:rPr>
                <w:rFonts w:ascii="Verdana" w:eastAsia="Times New Roman" w:hAnsi="Verdana" w:cs="Times New Roman"/>
                <w:sz w:val="20"/>
                <w:szCs w:val="20"/>
                <w:lang w:eastAsia="de-AT"/>
              </w:rPr>
              <w:t xml:space="preserve"> neck)</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140-149</w:t>
            </w:r>
            <w:r w:rsidRPr="00866AA0">
              <w:rPr>
                <w:rFonts w:ascii="Verdana" w:eastAsia="Times New Roman" w:hAnsi="Verdana" w:cs="Times New Roman"/>
                <w:sz w:val="20"/>
                <w:szCs w:val="20"/>
                <w:lang w:eastAsia="de-AT"/>
              </w:rPr>
              <w:br/>
              <w:t>160,161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2.486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63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2,5 %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5.139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97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1,9 %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Speiseröhre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oesophagus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150</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1.003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5,4 %</w:t>
            </w:r>
            <w:r w:rsidRPr="00866AA0">
              <w:rPr>
                <w:rFonts w:ascii="Verdana" w:eastAsia="Times New Roman" w:hAnsi="Verdana" w:cs="Times New Roman"/>
                <w:sz w:val="20"/>
                <w:lang w:eastAsia="de-AT"/>
              </w:rPr>
              <w:t> </w:t>
            </w:r>
            <w:r w:rsidRPr="00866AA0">
              <w:rPr>
                <w:rFonts w:ascii="Verdana" w:eastAsia="Times New Roman" w:hAnsi="Verdana" w:cs="Times New Roman"/>
                <w:sz w:val="15"/>
                <w:szCs w:val="15"/>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1.521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5,4 %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Magen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stomach</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1.904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0,7 %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3.001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20</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0,7 %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Darm</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colon</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7.243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1,8 %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13.936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146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1,0 %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Mastdarm</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rectum</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4.036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218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5,4 %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5.533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189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3,4 %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Bauchspeicheldrüse</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pancreas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157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1.728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3.567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33"/>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Lunge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lung</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162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7.792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118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1,5 %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20.741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410</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2,0 %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Weichteil-Sarkom</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 xml:space="preserve">(soft </w:t>
            </w:r>
            <w:proofErr w:type="spellStart"/>
            <w:r w:rsidRPr="00866AA0">
              <w:rPr>
                <w:rFonts w:ascii="Verdana" w:eastAsia="Times New Roman" w:hAnsi="Verdana" w:cs="Times New Roman"/>
                <w:sz w:val="20"/>
                <w:szCs w:val="20"/>
                <w:lang w:eastAsia="de-AT"/>
              </w:rPr>
              <w:t>tissue</w:t>
            </w:r>
            <w:proofErr w:type="spellEnd"/>
            <w:r w:rsidRPr="00866AA0">
              <w:rPr>
                <w:rFonts w:ascii="Verdana" w:eastAsia="Times New Roman" w:hAnsi="Verdana" w:cs="Times New Roman"/>
                <w:sz w:val="20"/>
                <w:szCs w:val="20"/>
                <w:lang w:eastAsia="de-AT"/>
              </w:rPr>
              <w:t xml:space="preserve"> </w:t>
            </w:r>
            <w:proofErr w:type="spellStart"/>
            <w:r w:rsidRPr="00866AA0">
              <w:rPr>
                <w:rFonts w:ascii="Verdana" w:eastAsia="Times New Roman" w:hAnsi="Verdana" w:cs="Times New Roman"/>
                <w:sz w:val="20"/>
                <w:szCs w:val="20"/>
                <w:lang w:eastAsia="de-AT"/>
              </w:rPr>
              <w:t>sarcoma</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665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858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Melanom</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melanoma</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7.811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8.646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Brust</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breast</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10.661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color w:val="993300"/>
                <w:sz w:val="20"/>
                <w:szCs w:val="20"/>
                <w:lang w:eastAsia="de-AT"/>
              </w:rPr>
              <w:t>164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1,5%</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31.133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446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1,4%</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Gebärmutter</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uterus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179 + 182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1.399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4.611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Gebärmutterhals</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cervix</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180</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867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12,0 %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1.825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219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12,0 %</w:t>
            </w:r>
          </w:p>
        </w:tc>
      </w:tr>
      <w:tr w:rsidR="00F70BD2" w:rsidRPr="00866AA0" w:rsidTr="00542A49">
        <w:trPr>
          <w:trHeight w:val="265"/>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Eierstock</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ovary</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1.207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8,7 %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3.032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269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8,9 %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Prostata</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prostate</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9.869 </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23.242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185"/>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Hoden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testis</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529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Pr>
                <w:rFonts w:ascii="Verdana" w:eastAsia="Times New Roman" w:hAnsi="Verdana" w:cs="Times New Roman"/>
                <w:color w:val="993300"/>
                <w:sz w:val="20"/>
                <w:szCs w:val="20"/>
                <w:lang w:eastAsia="de-AT"/>
              </w:rPr>
              <w:t>221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41,8 %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989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37,7 %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Blase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bladder</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2.802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6.667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Nieren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kidney</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189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2.176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3.722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Gehirn</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brain</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191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1.116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55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4,9 %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1.824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68</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3,7 %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Unbekannte</w:t>
            </w:r>
            <w:r w:rsidRPr="00866AA0">
              <w:rPr>
                <w:rFonts w:ascii="Verdana" w:eastAsia="Times New Roman" w:hAnsi="Verdana" w:cs="Times New Roman"/>
                <w:b/>
                <w:bCs/>
                <w:sz w:val="20"/>
                <w:lang w:eastAsia="de-AT"/>
              </w:rPr>
              <w:t> </w:t>
            </w:r>
            <w:r w:rsidRPr="00866AA0">
              <w:rPr>
                <w:rFonts w:ascii="Verdana" w:eastAsia="Times New Roman" w:hAnsi="Verdana" w:cs="Times New Roman"/>
                <w:b/>
                <w:bCs/>
                <w:sz w:val="20"/>
                <w:szCs w:val="20"/>
                <w:lang w:eastAsia="de-AT"/>
              </w:rPr>
              <w:br/>
              <w:t>Ausgangsstelle</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195 - 199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3.161 </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6.200</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val="en-US" w:eastAsia="de-AT"/>
              </w:rPr>
            </w:pPr>
            <w:r w:rsidRPr="00866AA0">
              <w:rPr>
                <w:rFonts w:ascii="Verdana" w:eastAsia="Times New Roman" w:hAnsi="Verdana" w:cs="Times New Roman"/>
                <w:b/>
                <w:bCs/>
                <w:sz w:val="20"/>
                <w:szCs w:val="20"/>
                <w:lang w:val="en-US" w:eastAsia="de-AT"/>
              </w:rPr>
              <w:lastRenderedPageBreak/>
              <w:t xml:space="preserve">Non-Hodgkin - </w:t>
            </w:r>
            <w:proofErr w:type="spellStart"/>
            <w:r w:rsidRPr="00866AA0">
              <w:rPr>
                <w:rFonts w:ascii="Verdana" w:eastAsia="Times New Roman" w:hAnsi="Verdana" w:cs="Times New Roman"/>
                <w:b/>
                <w:bCs/>
                <w:sz w:val="20"/>
                <w:szCs w:val="20"/>
                <w:lang w:val="en-US" w:eastAsia="de-AT"/>
              </w:rPr>
              <w:t>Lymphom</w:t>
            </w:r>
            <w:proofErr w:type="spellEnd"/>
            <w:r w:rsidRPr="00866AA0">
              <w:rPr>
                <w:rFonts w:ascii="Verdana" w:eastAsia="Times New Roman" w:hAnsi="Verdana" w:cs="Times New Roman"/>
                <w:b/>
                <w:bCs/>
                <w:sz w:val="20"/>
                <w:szCs w:val="20"/>
                <w:lang w:val="en-US" w:eastAsia="de-AT"/>
              </w:rPr>
              <w:br/>
            </w:r>
            <w:r w:rsidRPr="00866AA0">
              <w:rPr>
                <w:rFonts w:ascii="Verdana" w:eastAsia="Times New Roman" w:hAnsi="Verdana" w:cs="Times New Roman"/>
                <w:szCs w:val="18"/>
                <w:lang w:val="en-US" w:eastAsia="de-AT"/>
              </w:rPr>
              <w:t>(non-Hodgkin’s lymphoma)</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200 + 202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3.145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 331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10,5 %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6.217</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653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10,5 %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Hodgkin-Lymphom</w:t>
            </w:r>
            <w:r w:rsidRPr="00866AA0">
              <w:rPr>
                <w:rFonts w:ascii="Verdana" w:eastAsia="Times New Roman" w:hAnsi="Verdana" w:cs="Times New Roman"/>
                <w:b/>
                <w:bCs/>
                <w:sz w:val="20"/>
                <w:szCs w:val="20"/>
                <w:lang w:eastAsia="de-AT"/>
              </w:rPr>
              <w:br/>
            </w:r>
            <w:r w:rsidRPr="00866AA0">
              <w:rPr>
                <w:rFonts w:ascii="Verdana" w:eastAsia="Times New Roman" w:hAnsi="Verdana" w:cs="Times New Roman"/>
                <w:sz w:val="20"/>
                <w:szCs w:val="20"/>
                <w:lang w:eastAsia="de-AT"/>
              </w:rPr>
              <w:t>(</w:t>
            </w:r>
            <w:proofErr w:type="spellStart"/>
            <w:r w:rsidRPr="00866AA0">
              <w:rPr>
                <w:rFonts w:ascii="Verdana" w:eastAsia="Times New Roman" w:hAnsi="Verdana" w:cs="Times New Roman"/>
                <w:sz w:val="20"/>
                <w:szCs w:val="20"/>
                <w:lang w:eastAsia="de-AT"/>
              </w:rPr>
              <w:t>Hodgkin’s</w:t>
            </w:r>
            <w:proofErr w:type="spellEnd"/>
            <w:r w:rsidRPr="00866AA0">
              <w:rPr>
                <w:rFonts w:ascii="Verdana" w:eastAsia="Times New Roman" w:hAnsi="Verdana" w:cs="Times New Roman"/>
                <w:sz w:val="20"/>
                <w:szCs w:val="20"/>
                <w:lang w:eastAsia="de-AT"/>
              </w:rPr>
              <w:t xml:space="preserve"> </w:t>
            </w:r>
            <w:proofErr w:type="spellStart"/>
            <w:r w:rsidRPr="00866AA0">
              <w:rPr>
                <w:rFonts w:ascii="Verdana" w:eastAsia="Times New Roman" w:hAnsi="Verdana" w:cs="Times New Roman"/>
                <w:sz w:val="20"/>
                <w:szCs w:val="20"/>
                <w:lang w:eastAsia="de-AT"/>
              </w:rPr>
              <w:t>disease</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201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 341 </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122</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35,8 %</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846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341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40,3 %</w:t>
            </w:r>
          </w:p>
        </w:tc>
      </w:tr>
      <w:tr w:rsidR="00F70BD2" w:rsidRPr="00866AA0" w:rsidTr="00542A49">
        <w:trPr>
          <w:trHeight w:val="268"/>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0"/>
                <w:szCs w:val="20"/>
                <w:lang w:eastAsia="de-AT"/>
              </w:rPr>
              <w:t xml:space="preserve">Multiples </w:t>
            </w:r>
            <w:proofErr w:type="spellStart"/>
            <w:r w:rsidRPr="00866AA0">
              <w:rPr>
                <w:rFonts w:ascii="Verdana" w:eastAsia="Times New Roman" w:hAnsi="Verdana" w:cs="Times New Roman"/>
                <w:b/>
                <w:bCs/>
                <w:sz w:val="20"/>
                <w:szCs w:val="20"/>
                <w:lang w:eastAsia="de-AT"/>
              </w:rPr>
              <w:t>Myelom</w:t>
            </w:r>
            <w:proofErr w:type="spellEnd"/>
            <w:r w:rsidRPr="00866AA0">
              <w:rPr>
                <w:rFonts w:ascii="Verdana" w:eastAsia="Times New Roman" w:hAnsi="Verdana" w:cs="Times New Roman"/>
                <w:sz w:val="20"/>
                <w:lang w:eastAsia="de-AT"/>
              </w:rPr>
              <w:t> </w:t>
            </w:r>
            <w:r w:rsidRPr="00866AA0">
              <w:rPr>
                <w:rFonts w:ascii="Verdana" w:eastAsia="Times New Roman" w:hAnsi="Verdana" w:cs="Times New Roman"/>
                <w:sz w:val="20"/>
                <w:szCs w:val="20"/>
                <w:lang w:eastAsia="de-AT"/>
              </w:rPr>
              <w:br/>
              <w:t xml:space="preserve">(multiple </w:t>
            </w:r>
            <w:proofErr w:type="spellStart"/>
            <w:r w:rsidRPr="00866AA0">
              <w:rPr>
                <w:rFonts w:ascii="Verdana" w:eastAsia="Times New Roman" w:hAnsi="Verdana" w:cs="Times New Roman"/>
                <w:sz w:val="20"/>
                <w:szCs w:val="20"/>
                <w:lang w:eastAsia="de-AT"/>
              </w:rPr>
              <w:t>myeloma</w:t>
            </w:r>
            <w:proofErr w:type="spellEnd"/>
            <w:r w:rsidRPr="00866AA0">
              <w:rPr>
                <w:rFonts w:ascii="Verdana" w:eastAsia="Times New Roman" w:hAnsi="Verdana" w:cs="Times New Roman"/>
                <w:sz w:val="20"/>
                <w:szCs w:val="20"/>
                <w:lang w:eastAsia="de-AT"/>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203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1.023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w:t>
            </w:r>
          </w:p>
        </w:tc>
      </w:tr>
      <w:tr w:rsidR="00F70BD2" w:rsidRPr="00866AA0" w:rsidTr="00542A49">
        <w:trPr>
          <w:trHeight w:val="268"/>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1.721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w:t>
            </w:r>
          </w:p>
        </w:tc>
      </w:tr>
      <w:tr w:rsidR="00F70BD2" w:rsidRPr="00866AA0" w:rsidTr="00542A49">
        <w:trPr>
          <w:trHeight w:val="301"/>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b/>
                <w:bCs/>
                <w:sz w:val="24"/>
                <w:szCs w:val="24"/>
                <w:lang w:eastAsia="de-AT"/>
              </w:rPr>
              <w:t>GESAMT </w:t>
            </w:r>
            <w:r w:rsidRPr="00866AA0">
              <w:rPr>
                <w:rFonts w:ascii="Verdana" w:eastAsia="Times New Roman" w:hAnsi="Verdana" w:cs="Times New Roman"/>
                <w:b/>
                <w:bCs/>
                <w:sz w:val="24"/>
                <w:szCs w:val="24"/>
                <w:lang w:eastAsia="de-AT"/>
              </w:rPr>
              <w:br/>
              <w:t>(Total)</w:t>
            </w:r>
          </w:p>
        </w:tc>
        <w:tc>
          <w:tcPr>
            <w:tcW w:w="0" w:type="auto"/>
            <w:vMerge w:val="restart"/>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sz w:val="20"/>
                <w:szCs w:val="20"/>
                <w:lang w:eastAsia="de-AT"/>
              </w:rPr>
              <w:t>-</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993300"/>
                <w:sz w:val="20"/>
                <w:szCs w:val="20"/>
                <w:lang w:eastAsia="de-AT"/>
              </w:rPr>
              <w:t>Australien</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4"/>
                <w:szCs w:val="24"/>
                <w:lang w:eastAsia="de-AT"/>
              </w:rPr>
              <w:t>72.964</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4"/>
                <w:szCs w:val="24"/>
                <w:lang w:eastAsia="de-AT"/>
              </w:rPr>
              <w:t>1.696</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4"/>
                <w:szCs w:val="24"/>
                <w:lang w:eastAsia="de-AT"/>
              </w:rPr>
              <w:t>2,3 %</w:t>
            </w:r>
          </w:p>
        </w:tc>
      </w:tr>
      <w:tr w:rsidR="00F70BD2" w:rsidRPr="00866AA0" w:rsidTr="00542A49">
        <w:trPr>
          <w:trHeight w:val="301"/>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line="240" w:lineRule="auto"/>
              <w:rPr>
                <w:rFonts w:ascii="Times New Roman" w:eastAsia="Times New Roman" w:hAnsi="Times New Roman" w:cs="Times New Roman"/>
                <w:sz w:val="24"/>
                <w:szCs w:val="24"/>
                <w:lang w:eastAsia="de-AT"/>
              </w:rPr>
            </w:pP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rPr>
                <w:rFonts w:ascii="Times New Roman" w:eastAsia="Times New Roman" w:hAnsi="Times New Roman" w:cs="Times New Roman"/>
                <w:sz w:val="24"/>
                <w:szCs w:val="24"/>
                <w:lang w:eastAsia="de-AT"/>
              </w:rPr>
            </w:pPr>
            <w:r w:rsidRPr="00866AA0">
              <w:rPr>
                <w:rFonts w:ascii="Verdana" w:eastAsia="Times New Roman" w:hAnsi="Verdana" w:cs="Times New Roman"/>
                <w:color w:val="0000FF"/>
                <w:sz w:val="20"/>
                <w:szCs w:val="20"/>
                <w:lang w:eastAsia="de-AT"/>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0000FF"/>
                <w:sz w:val="24"/>
                <w:szCs w:val="24"/>
                <w:lang w:eastAsia="de-AT"/>
              </w:rPr>
              <w:t>154.971</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0000FF"/>
                <w:sz w:val="24"/>
                <w:szCs w:val="24"/>
                <w:lang w:eastAsia="de-AT"/>
              </w:rPr>
              <w:t>3.313</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0000FF"/>
                <w:sz w:val="24"/>
                <w:szCs w:val="24"/>
                <w:lang w:eastAsia="de-AT"/>
              </w:rPr>
              <w:t>2,1 %</w:t>
            </w:r>
          </w:p>
        </w:tc>
      </w:tr>
      <w:tr w:rsidR="00F70BD2" w:rsidRPr="00866AA0" w:rsidTr="00542A49">
        <w:trPr>
          <w:trHeight w:val="385"/>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color w:val="993300"/>
                <w:sz w:val="27"/>
                <w:szCs w:val="27"/>
                <w:lang w:eastAsia="de-AT"/>
              </w:rPr>
              <w:t>Australien</w:t>
            </w:r>
            <w:r w:rsidRPr="00866AA0">
              <w:rPr>
                <w:rFonts w:ascii="Verdana" w:eastAsia="Times New Roman" w:hAnsi="Verdana" w:cs="Times New Roman"/>
                <w:b/>
                <w:bCs/>
                <w:color w:val="993300"/>
                <w:sz w:val="27"/>
                <w:lang w:eastAsia="de-AT"/>
              </w:rPr>
              <w:t> </w:t>
            </w:r>
            <w:r w:rsidRPr="00866AA0">
              <w:rPr>
                <w:rFonts w:ascii="Verdana" w:eastAsia="Times New Roman" w:hAnsi="Verdana" w:cs="Times New Roman"/>
                <w:b/>
                <w:bCs/>
                <w:sz w:val="27"/>
                <w:szCs w:val="27"/>
                <w:lang w:eastAsia="de-AT"/>
              </w:rPr>
              <w:t>+</w:t>
            </w:r>
            <w:r w:rsidRPr="00866AA0">
              <w:rPr>
                <w:rFonts w:ascii="Verdana" w:eastAsia="Times New Roman" w:hAnsi="Verdana" w:cs="Times New Roman"/>
                <w:b/>
                <w:bCs/>
                <w:color w:val="993300"/>
                <w:sz w:val="27"/>
                <w:lang w:eastAsia="de-AT"/>
              </w:rPr>
              <w:t> </w:t>
            </w:r>
            <w:r w:rsidRPr="00866AA0">
              <w:rPr>
                <w:rFonts w:ascii="Verdana" w:eastAsia="Times New Roman" w:hAnsi="Verdana" w:cs="Times New Roman"/>
                <w:b/>
                <w:bCs/>
                <w:color w:val="0000FF"/>
                <w:sz w:val="27"/>
                <w:szCs w:val="27"/>
                <w:lang w:eastAsia="de-AT"/>
              </w:rPr>
              <w:t>USA</w:t>
            </w:r>
            <w:r w:rsidRPr="00866AA0">
              <w:rPr>
                <w:rFonts w:ascii="Verdana" w:eastAsia="Times New Roman" w:hAnsi="Verdana" w:cs="Times New Roman"/>
                <w:b/>
                <w:bCs/>
                <w:color w:val="0000FF"/>
                <w:sz w:val="27"/>
                <w:lang w:eastAsia="de-AT"/>
              </w:rPr>
              <w:t> </w:t>
            </w:r>
            <w:r w:rsidRPr="00866AA0">
              <w:rPr>
                <w:rFonts w:ascii="Verdana" w:eastAsia="Times New Roman" w:hAnsi="Verdana" w:cs="Times New Roman"/>
                <w:b/>
                <w:bCs/>
                <w:sz w:val="27"/>
                <w:szCs w:val="27"/>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7"/>
                <w:szCs w:val="27"/>
                <w:lang w:eastAsia="de-AT"/>
              </w:rPr>
              <w:t>227.935</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7"/>
                <w:szCs w:val="27"/>
                <w:lang w:eastAsia="de-AT"/>
              </w:rPr>
              <w:t>5.009</w:t>
            </w:r>
          </w:p>
        </w:tc>
        <w:tc>
          <w:tcPr>
            <w:tcW w:w="0" w:type="auto"/>
            <w:tcBorders>
              <w:top w:val="outset" w:sz="6" w:space="0" w:color="auto"/>
              <w:left w:val="outset" w:sz="6" w:space="0" w:color="auto"/>
              <w:bottom w:val="outset" w:sz="6" w:space="0" w:color="auto"/>
              <w:right w:val="outset" w:sz="6" w:space="0" w:color="auto"/>
            </w:tcBorders>
            <w:hideMark/>
          </w:tcPr>
          <w:p w:rsidR="00F70BD2" w:rsidRPr="00866AA0" w:rsidRDefault="00F70BD2" w:rsidP="00542A49">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866AA0">
              <w:rPr>
                <w:rFonts w:ascii="Verdana" w:eastAsia="Times New Roman" w:hAnsi="Verdana" w:cs="Times New Roman"/>
                <w:b/>
                <w:bCs/>
                <w:sz w:val="27"/>
                <w:szCs w:val="27"/>
                <w:lang w:eastAsia="de-AT"/>
              </w:rPr>
              <w:t>2,2 %</w:t>
            </w:r>
          </w:p>
        </w:tc>
      </w:tr>
    </w:tbl>
    <w:p w:rsidR="00F70BD2" w:rsidRPr="00524C1C" w:rsidRDefault="00F70BD2" w:rsidP="00F70BD2">
      <w:pPr>
        <w:jc w:val="both"/>
        <w:rPr>
          <w:rFonts w:cstheme="minorHAnsi"/>
          <w:bCs/>
          <w:sz w:val="20"/>
          <w:szCs w:val="20"/>
        </w:rPr>
      </w:pPr>
    </w:p>
    <w:p w:rsidR="00B179F2" w:rsidRDefault="00372388"/>
    <w:sectPr w:rsidR="00B179F2" w:rsidSect="00171760">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8" w:rsidRDefault="00372388" w:rsidP="00F70BD2">
      <w:pPr>
        <w:spacing w:line="240" w:lineRule="auto"/>
      </w:pPr>
      <w:r>
        <w:separator/>
      </w:r>
    </w:p>
  </w:endnote>
  <w:endnote w:type="continuationSeparator" w:id="0">
    <w:p w:rsidR="00372388" w:rsidRDefault="00372388" w:rsidP="00F70B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8" w:rsidRDefault="00372388" w:rsidP="00F70BD2">
      <w:pPr>
        <w:spacing w:line="240" w:lineRule="auto"/>
      </w:pPr>
      <w:r>
        <w:separator/>
      </w:r>
    </w:p>
  </w:footnote>
  <w:footnote w:type="continuationSeparator" w:id="0">
    <w:p w:rsidR="00372388" w:rsidRDefault="00372388" w:rsidP="00F70B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D2" w:rsidRDefault="00F70BD2">
    <w:pPr>
      <w:pStyle w:val="Kopfzeile"/>
    </w:pPr>
  </w:p>
  <w:p w:rsidR="00C13A51" w:rsidRDefault="0037238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C07"/>
      </v:shape>
    </w:pict>
  </w:numPicBullet>
  <w:abstractNum w:abstractNumId="0">
    <w:nsid w:val="2C6962F7"/>
    <w:multiLevelType w:val="hybridMultilevel"/>
    <w:tmpl w:val="B8D08000"/>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70BD2"/>
    <w:rsid w:val="00193CE7"/>
    <w:rsid w:val="001F1DF6"/>
    <w:rsid w:val="00356587"/>
    <w:rsid w:val="00365F0A"/>
    <w:rsid w:val="00372388"/>
    <w:rsid w:val="003F5086"/>
    <w:rsid w:val="00442398"/>
    <w:rsid w:val="00456F0D"/>
    <w:rsid w:val="00561EE2"/>
    <w:rsid w:val="005A3412"/>
    <w:rsid w:val="008744C3"/>
    <w:rsid w:val="00D83DB6"/>
    <w:rsid w:val="00F22723"/>
    <w:rsid w:val="00F70BD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0BD2"/>
    <w:pPr>
      <w:spacing w:after="0"/>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F70BD2"/>
  </w:style>
  <w:style w:type="paragraph" w:styleId="StandardWeb">
    <w:name w:val="Normal (Web)"/>
    <w:basedOn w:val="Standard"/>
    <w:uiPriority w:val="99"/>
    <w:unhideWhenUsed/>
    <w:rsid w:val="00F70BD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F70BD2"/>
  </w:style>
  <w:style w:type="character" w:styleId="Hyperlink">
    <w:name w:val="Hyperlink"/>
    <w:basedOn w:val="Absatz-Standardschriftart"/>
    <w:uiPriority w:val="99"/>
    <w:semiHidden/>
    <w:unhideWhenUsed/>
    <w:rsid w:val="00F70BD2"/>
    <w:rPr>
      <w:color w:val="0000FF"/>
      <w:u w:val="single"/>
    </w:rPr>
  </w:style>
  <w:style w:type="paragraph" w:styleId="Kopfzeile">
    <w:name w:val="header"/>
    <w:basedOn w:val="Standard"/>
    <w:link w:val="KopfzeileZchn"/>
    <w:uiPriority w:val="99"/>
    <w:unhideWhenUsed/>
    <w:rsid w:val="00F70BD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0BD2"/>
    <w:rPr>
      <w:sz w:val="18"/>
    </w:rPr>
  </w:style>
  <w:style w:type="paragraph" w:styleId="Fuzeile">
    <w:name w:val="footer"/>
    <w:basedOn w:val="Standard"/>
    <w:link w:val="FuzeileZchn"/>
    <w:uiPriority w:val="99"/>
    <w:semiHidden/>
    <w:unhideWhenUsed/>
    <w:rsid w:val="00F70BD2"/>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F70BD2"/>
    <w:rPr>
      <w:sz w:val="18"/>
    </w:rPr>
  </w:style>
  <w:style w:type="paragraph" w:styleId="Sprechblasentext">
    <w:name w:val="Balloon Text"/>
    <w:basedOn w:val="Standard"/>
    <w:link w:val="SprechblasentextZchn"/>
    <w:uiPriority w:val="99"/>
    <w:semiHidden/>
    <w:unhideWhenUsed/>
    <w:rsid w:val="00F70B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cerdecisions.com/030506_p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4415</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2010-11-04T15:13:00Z</dcterms:created>
  <dcterms:modified xsi:type="dcterms:W3CDTF">2010-11-04T15:14:00Z</dcterms:modified>
</cp:coreProperties>
</file>